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spacing w:before="120" w:after="12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Уважаемые пациенты!</w:t>
      </w:r>
    </w:p>
    <w:p>
      <w:pPr>
        <w:pStyle w:val="para1"/>
        <w:spacing w:before="120" w:after="120" w:line="240" w:lineRule="auto"/>
        <w:jc w:val="center"/>
        <w:rPr>
          <w:rFonts w:ascii="Times New Roman" w:hAnsi="Times New Roman" w:eastAsia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>Оформим справку для возмещения 13% налога на доходы физических лиц за стоматологическое лечение</w:t>
      </w:r>
      <w:r>
        <w:rPr>
          <w:rFonts w:ascii="Times New Roman" w:hAnsi="Times New Roman" w:eastAsia="Times New Roman" w:cs="Times New Roman"/>
          <w:color w:val="auto"/>
          <w:lang w:eastAsia="en-us"/>
        </w:rPr>
      </w:r>
    </w:p>
    <w:p>
      <w:pPr>
        <w:pStyle w:val="para3"/>
        <w:ind w:firstLine="720"/>
        <w:spacing w:before="240" w:after="240" w:beforeAutospacing="0" w:afterAutospacing="0"/>
        <w:jc w:val="both"/>
      </w:pPr>
      <w:r>
        <w:t>Налоговый вычет за лечение зубов — это социальная льгота, предоставляемая гражданам России. </w:t>
      </w:r>
    </w:p>
    <w:p>
      <w:pPr>
        <w:pStyle w:val="para3"/>
        <w:ind w:firstLine="720"/>
        <w:spacing w:before="240" w:after="240" w:beforeAutospacing="0" w:afterAutospacing="0"/>
        <w:jc w:val="both"/>
      </w:pPr>
      <w:r>
        <w:t>Если вы обратились в частную стоматологию и заплатили за стоматологические услуги, то можете вернуть часть средств обратно. Сегодня мы расскажем вам о том, как это сделать. </w:t>
      </w:r>
    </w:p>
    <w:p>
      <w:pPr>
        <w:pStyle w:val="para3"/>
        <w:spacing w:before="240" w:after="240" w:beforeAutospacing="0" w:afterAutospacing="0"/>
        <w:jc w:val="center"/>
      </w:pPr>
      <w:r>
        <w:rPr>
          <w:b/>
          <w:bCs/>
        </w:rPr>
        <w:t>Кто имеет право на возврат налога за лечение зубов?</w:t>
      </w:r>
      <w:r/>
    </w:p>
    <w:p>
      <w:pPr>
        <w:pStyle w:val="para3"/>
        <w:ind w:firstLine="720"/>
        <w:spacing w:before="240" w:after="240" w:beforeAutospacing="0" w:afterAutospacing="0"/>
        <w:jc w:val="both"/>
      </w:pPr>
      <w:r>
        <w:t>Право на вычет имеют граждане России или иностранцы, являющиеся налоговыми резидентами.</w:t>
      </w:r>
    </w:p>
    <w:p>
      <w:pPr>
        <w:pStyle w:val="para3"/>
        <w:ind w:firstLine="720"/>
        <w:spacing w:before="240" w:after="240" w:beforeAutospacing="0" w:afterAutospacing="0"/>
        <w:jc w:val="both"/>
      </w:pPr>
      <w:r>
        <w:t>Вы должны уплачивать НДФЛ (налог на доходы физических лиц) по ставке в соответствии с действующим законодательством.</w:t>
      </w:r>
    </w:p>
    <w:p>
      <w:pPr>
        <w:pStyle w:val="para3"/>
        <w:ind w:firstLine="720"/>
        <w:spacing w:before="0" w:after="0" w:beforeAutospacing="0" w:afterAutospacing="0" w:line="180" w:lineRule="atLeast"/>
        <w:jc w:val="both"/>
        <w:rPr>
          <w:rFonts w:eastAsia="Times New Roman"/>
          <w:lang w:eastAsia="en-us"/>
        </w:rPr>
      </w:pPr>
      <w:r>
        <w:t xml:space="preserve">Справки выдаются по требованию налогоплательщика, производившего оплату медицинских услуг, оказанных </w:t>
      </w:r>
      <w:r>
        <w:rPr>
          <w:rFonts w:eastAsia="Times New Roman"/>
          <w:lang w:eastAsia="en-us"/>
        </w:rPr>
        <w:t>ему лично, его супругу (супруге), родителям, детям (в том числе усыновленным) в возрасте до 18 лет (до 24 лет, если дети (в том числе усыновленным) являющимся обучающимися по очной форме обучения в организациях, осуществляющих образовательную деятельность) и подопечным в возрасте до 18 лет (бывшим подопечным после прекращения опеки или попечительства, обучающимся по очной форме обучения в организациях, осуществляющих образовательную деятельность, в возрасте до 24 лет).</w:t>
      </w:r>
      <w:r>
        <w:rPr>
          <w:rFonts w:eastAsia="Times New Roman"/>
          <w:lang w:eastAsia="en-us"/>
        </w:rPr>
      </w:r>
    </w:p>
    <w:p>
      <w:pPr>
        <w:ind w:firstLine="72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Справки выдаются только на основании личного заявления налогоплательщика при предъявлении паспорта.</w:t>
      </w:r>
    </w:p>
    <w:p>
      <w:pPr>
        <w:ind w:firstLine="72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одну справку входят услуги, оплаченные пациентом за один год (за 2 года - 2 справки и т.д.).</w:t>
      </w:r>
    </w:p>
    <w:p>
      <w:pPr>
        <w:ind w:firstLine="72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 услуги 1 - все услуги (лечение, хирургия, ортодонтия, протезирование и т.д), кроме имплантации, подлежит вычету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сумм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не более 150 000 руб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с 01.012024 г., </w:t>
      </w:r>
      <w:r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>120 000 – за 2023 г. и ранее; код услуги 2 - дентальная имплантация, подлежит вычету без ограничений суммы.</w:t>
      </w:r>
      <w:r>
        <w:rPr>
          <w:rFonts w:ascii="Times New Roman" w:hAnsi="Times New Roman"/>
          <w:sz w:val="24"/>
          <w:szCs w:val="24"/>
        </w:rPr>
      </w:r>
    </w:p>
    <w:p>
      <w:pPr>
        <w:pStyle w:val="para3"/>
        <w:spacing w:before="240" w:after="240" w:beforeAutospacing="0" w:afterAutospacing="0"/>
        <w:jc w:val="center"/>
        <w:rPr>
          <w:b/>
          <w:bCs/>
        </w:rPr>
      </w:pPr>
      <w:r>
        <w:rPr>
          <w:b/>
          <w:bCs/>
        </w:rPr>
        <w:t>Как получить вычет?</w:t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изготовления справки об оплате медицинских услуг, предоставляемой в налоговую инспекцию для налогового вычета, необходимо предоставить</w:t>
      </w:r>
      <w:r>
        <w:rPr>
          <w:rFonts w:ascii="Times New Roman" w:hAnsi="Times New Roman"/>
          <w:sz w:val="24"/>
          <w:szCs w:val="24"/>
        </w:rPr>
        <w:t xml:space="preserve"> в клинику</w:t>
      </w:r>
      <w:r>
        <w:rPr>
          <w:rFonts w:ascii="Times New Roman" w:hAnsi="Times New Roman"/>
          <w:sz w:val="24"/>
          <w:szCs w:val="24"/>
        </w:rPr>
        <w:t xml:space="preserve"> следующие документы: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br w:type="textWrapping"/>
        <w:t xml:space="preserve">1. Заявление установленной формы (бланк заявления можно взять у администратора, скачать на нашем сайте или сфотографировать форму и написать от руки).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2.Паспорт.</w:t>
      </w:r>
    </w:p>
    <w:p>
      <w:pPr>
        <w:pStyle w:val="para3"/>
        <w:spacing w:before="0" w:after="0" w:beforeAutospacing="0" w:afterAutospacing="0" w:line="288" w:lineRule="atLeast"/>
        <w:jc w:val="both"/>
      </w:pPr>
      <w:r>
        <w:t>3.ИНН (при наличии при обращении). Для оформления справки за 2024 год и позже ИНН не обязателен в случае предоставления паспорта.</w:t>
      </w:r>
    </w:p>
    <w:p>
      <w:pPr>
        <w:pStyle w:val="para3"/>
        <w:spacing w:before="0" w:after="0" w:beforeAutospacing="0" w:afterAutospacing="0" w:line="288" w:lineRule="atLeast"/>
        <w:jc w:val="both"/>
      </w:pPr>
      <w:r>
        <w:t xml:space="preserve">4. Паспорт лица, чьё лечение оплачивалось. </w:t>
      </w:r>
    </w:p>
    <w:p>
      <w:pPr>
        <w:pStyle w:val="para3"/>
        <w:spacing w:before="0" w:after="0" w:beforeAutospacing="0" w:afterAutospacing="0" w:line="288" w:lineRule="atLeast"/>
        <w:jc w:val="both"/>
      </w:pPr>
      <w:r/>
    </w:p>
    <w:p>
      <w:pPr>
        <w:pStyle w:val="para3"/>
        <w:ind w:firstLine="720"/>
        <w:spacing w:before="0" w:after="0" w:beforeAutospacing="0" w:afterAutospacing="0" w:line="288" w:lineRule="atLeast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Для справок за период 2023 год и ранее в соответствии с абз.7 Приложения № 2 к Приказу</w:t>
      </w:r>
      <w:r>
        <w:rPr>
          <w:rFonts w:eastAsia="Times New Roman"/>
          <w:lang w:eastAsia="en-us"/>
        </w:rPr>
        <w:t xml:space="preserve"> Минздрава РФ </w:t>
      </w:r>
      <w:r>
        <w:rPr>
          <w:rFonts w:eastAsia="Times New Roman"/>
          <w:lang w:val="en-us" w:eastAsia="en-us"/>
        </w:rPr>
        <w:t>N</w:t>
      </w:r>
      <w:r>
        <w:rPr>
          <w:rFonts w:eastAsia="Times New Roman"/>
          <w:lang w:eastAsia="en-us"/>
        </w:rPr>
        <w:t xml:space="preserve"> 289, МНС РФ </w:t>
      </w:r>
      <w:r>
        <w:rPr>
          <w:rFonts w:eastAsia="Times New Roman"/>
          <w:lang w:val="en-us" w:eastAsia="en-us"/>
        </w:rPr>
        <w:t>N</w:t>
      </w:r>
      <w:r>
        <w:rPr>
          <w:rFonts w:eastAsia="Times New Roman"/>
          <w:lang w:eastAsia="en-us"/>
        </w:rPr>
        <w:t xml:space="preserve"> БГ-3-04/256 от 25.07.2001</w:t>
      </w:r>
      <w:r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"О реализации Постановления Правительства Российской Федерации от 19 марта 2001 г. </w:t>
      </w:r>
      <w:r>
        <w:rPr>
          <w:rFonts w:eastAsia="Times New Roman"/>
          <w:lang w:val="en-us" w:eastAsia="en-us"/>
        </w:rPr>
        <w:t>N</w:t>
      </w:r>
      <w:r>
        <w:rPr>
          <w:rFonts w:eastAsia="Times New Roman"/>
          <w:lang w:eastAsia="en-us"/>
        </w:rPr>
        <w:t xml:space="preserve"> 201 "Об утверждении перечней медицинских услуг и дорогостоящих видов лечения в медицинских учреждениях Российской Федерации, лекарственных средств, суммы оплаты которых за счет собственных средств налогоплательщика учитываются при определении суммы социального налогового вычета" </w:t>
      </w:r>
      <w:r>
        <w:rPr>
          <w:rFonts w:eastAsia="Times New Roman"/>
          <w:lang w:eastAsia="en-us"/>
        </w:rPr>
        <w:t>ИНН налогоплательщика (при его наличии) и сведения о родственных отношениях</w:t>
      </w:r>
      <w:r>
        <w:rPr>
          <w:rFonts w:eastAsia="Times New Roman"/>
          <w:lang w:eastAsia="en-us"/>
        </w:rPr>
        <w:t xml:space="preserve"> налогоплательщика</w:t>
      </w:r>
      <w:r>
        <w:rPr>
          <w:rFonts w:eastAsia="Times New Roman"/>
          <w:lang w:eastAsia="en-us"/>
        </w:rPr>
        <w:t xml:space="preserve"> с пациентом указываются по сообщению налогоплательщика</w:t>
      </w:r>
      <w:r>
        <w:rPr>
          <w:rFonts w:eastAsia="Times New Roman"/>
          <w:lang w:eastAsia="en-us"/>
        </w:rPr>
        <w:t>, а также путем указания данных в заявлении на выдачу справки.</w:t>
      </w:r>
      <w:r>
        <w:rPr>
          <w:rFonts w:eastAsia="Times New Roman"/>
          <w:lang w:eastAsia="en-us"/>
        </w:rPr>
      </w:r>
    </w:p>
    <w:p>
      <w:pPr>
        <w:pStyle w:val="para3"/>
        <w:ind w:firstLine="720"/>
        <w:spacing w:before="0" w:after="0" w:beforeAutospacing="0" w:afterAutospacing="0" w:line="288" w:lineRule="atLeast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Для справок за период с 2024 года и позже  в соответствии с п.22.1, 22.-2-22.6, 29.1, 29.2-29.6 Приложения № 2 к Приказу ФНС России от 08.11.2023 </w:t>
      </w:r>
      <w:r>
        <w:rPr>
          <w:rFonts w:eastAsia="Times New Roman"/>
          <w:lang w:val="en-us" w:eastAsia="en-us"/>
        </w:rPr>
        <w:t>N</w:t>
      </w:r>
      <w:r>
        <w:rPr>
          <w:rFonts w:eastAsia="Times New Roman"/>
          <w:lang w:eastAsia="en-us"/>
        </w:rPr>
        <w:t xml:space="preserve"> ЕА-7-11/824@</w:t>
      </w:r>
      <w:r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"Об утверждении формы справки об оплате медицинских услуг для представления в налоговый орган, порядка ее заполнения, формата и порядка представления в налоговый орган медицинской организацией и индивидуальным предпринимателем, осуществляющими медицинскую деятельность, сведений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лиц, в электронной форме" </w:t>
      </w:r>
      <w:r>
        <w:rPr>
          <w:rFonts w:eastAsia="Times New Roman"/>
          <w:lang w:eastAsia="en-us"/>
        </w:rPr>
        <w:t>необходимо предоставить оригиналы документов.</w:t>
      </w:r>
      <w:r>
        <w:rPr>
          <w:rFonts w:eastAsia="Times New Roman"/>
          <w:lang w:eastAsia="en-us"/>
        </w:rPr>
      </w:r>
    </w:p>
    <w:p>
      <w:pPr>
        <w:pStyle w:val="para3"/>
        <w:ind w:firstLine="720"/>
        <w:spacing w:before="0" w:after="0" w:beforeAutospacing="0" w:afterAutospacing="0" w:line="288" w:lineRule="atLeast"/>
        <w:jc w:val="both"/>
      </w:pPr>
      <w:r>
        <w:t xml:space="preserve">Ксерокопии документов клиника в своём распоряжении не оставляет. </w:t>
      </w:r>
    </w:p>
    <w:p>
      <w:pPr>
        <w:pStyle w:val="para3"/>
        <w:ind w:firstLine="720"/>
        <w:spacing w:before="0" w:after="0" w:beforeAutospacing="0" w:afterAutospacing="0" w:line="288" w:lineRule="atLeast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para3"/>
        <w:ind w:firstLine="72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>
        <w:t>Пакет документов можно предоставить лично, иным способом или отправить на электронную почту клиники копии. Обращаем Ваше внимание, что, в случае направления на электронную почту, документы, содержащие персональные данные, будут передаваться по незащищенным каналам связи сети Интернет.</w:t>
      </w:r>
    </w:p>
    <w:p>
      <w:pPr>
        <w:pStyle w:val="para3"/>
        <w:ind w:firstLine="72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/>
    </w:p>
    <w:p>
      <w:pPr>
        <w:pStyle w:val="para3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>
        <w:t>Адрес электронной</w:t>
      </w:r>
      <w:bookmarkStart w:id="0" w:name="_GoBack"/>
      <w:r/>
      <w:bookmarkEnd w:id="0"/>
      <w:r>
        <w:t xml:space="preserve"> почты: </w:t>
      </w:r>
      <w:hyperlink r:id="rId8" w:history="1">
        <w:r>
          <w:rPr>
            <w:rStyle w:val="char2"/>
            <w:color w:val="auto"/>
          </w:rPr>
          <w:t>______________________________________</w:t>
        </w:r>
      </w:hyperlink>
    </w:p>
    <w:p>
      <w:pPr>
        <w:pStyle w:val="para3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>
        <w:t>Важно в теме письма указать Вашу фамилию и инициалы!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можно получить только лично у администратора клиники.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Стандартный срок изготовления справок – до 30 дней.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3"/>
        <w:spacing w:before="240" w:after="240" w:beforeAutospacing="0" w:afterAutospacing="0"/>
        <w:jc w:val="center"/>
      </w:pPr>
      <w:r>
        <w:rPr>
          <w:b/>
          <w:bCs/>
        </w:rPr>
        <w:t>Что делать потом?</w:t>
      </w:r>
      <w:r/>
    </w:p>
    <w:p>
      <w:pPr>
        <w:pStyle w:val="para3"/>
        <w:ind w:firstLine="720"/>
        <w:spacing w:before="240" w:after="240" w:beforeAutospacing="0" w:afterAutospacing="0"/>
        <w:jc w:val="both"/>
        <w:rPr>
          <w:shd w:val="clear" w:fill="ffffff"/>
        </w:rPr>
      </w:pPr>
      <w:r>
        <w:t xml:space="preserve">Вы подаете декларацию 3 НДФЛ о доходах и справку в Федеральную налоговую службу для получения налогового вычета по расходам, осуществленным в 2023 году и ранее. </w:t>
      </w:r>
      <w:r>
        <w:rPr>
          <w:bCs/>
        </w:rPr>
        <w:t>Декларации за прошлый год подаются не позднее 30 апреля</w:t>
      </w:r>
      <w:r>
        <w:rPr>
          <w:b/>
          <w:bCs/>
        </w:rPr>
        <w:t xml:space="preserve"> </w:t>
      </w:r>
      <w:r>
        <w:rPr>
          <w:shd w:val="clear" w:fill="ffffff"/>
        </w:rPr>
        <w:t>года, следующего за истекшим налоговым периодом (календарным годом).</w:t>
      </w:r>
      <w:r>
        <w:rPr>
          <w:shd w:val="clear" w:fill="ffffff"/>
        </w:rPr>
      </w:r>
    </w:p>
    <w:p>
      <w:pPr>
        <w:pStyle w:val="para3"/>
        <w:ind w:firstLine="720"/>
        <w:spacing w:before="240" w:after="240" w:beforeAutospacing="0" w:afterAutospacing="0"/>
        <w:jc w:val="both"/>
      </w:pPr>
      <w:r>
        <w:t>Для получения налогового вычета по расходам, осуществленным в 2024 году и позднее, необходима только справка.</w:t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Налоговый вычет за лечение можно получать неограниченное количество раз в течение жизни, но не чаще одного раза в год.</w:t>
      </w:r>
    </w:p>
    <w:p>
      <w:pPr>
        <w:ind w:firstLine="720"/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Подать на социальный налоговый вычет можно в течение трех лет после года, в котором осуществлялись расходы. То есть в 2025 году можно вернуть налог за последние три года, не считая текущий. Получить льготу за более ранние периоды уже нельзя. </w:t>
      </w:r>
    </w:p>
    <w:p>
      <w:pPr>
        <w:pStyle w:val="para3"/>
        <w:ind w:firstLine="720"/>
        <w:spacing w:before="240" w:after="240" w:beforeAutospacing="0" w:afterAutospacing="0"/>
        <w:jc w:val="both"/>
      </w:pPr>
      <w:r>
        <w:t>Если вы не оформили справку сразу — свяжитесь с координатором или обратитесь в клинику, где проходили лечение. </w:t>
      </w:r>
    </w:p>
    <w:p>
      <w:pPr>
        <w:pStyle w:val="para3"/>
        <w:spacing w:before="240" w:after="240" w:beforeAutospacing="0" w:afterAutospacing="0"/>
        <w:jc w:val="center"/>
      </w:pPr>
      <w:r>
        <w:rPr>
          <w:b/>
          <w:bCs/>
        </w:rPr>
        <w:t>Подведем итоги преимуществ налогового вычета за лечение зубов:</w:t>
      </w:r>
      <w:r/>
    </w:p>
    <w:p>
      <w:pPr>
        <w:pStyle w:val="para3"/>
        <w:numPr>
          <w:ilvl w:val="0"/>
          <w:numId w:val="1"/>
        </w:numPr>
        <w:ind w:left="720" w:hanging="360"/>
        <w:spacing w:before="240" w:after="0" w:beforeAutospacing="0" w:afterAutospacing="0"/>
        <w:jc w:val="both"/>
      </w:pPr>
      <w:r>
        <w:t>Это возможность пользоваться качественными стоматологическими услугами с гарантиями. </w:t>
      </w:r>
    </w:p>
    <w:p>
      <w:pPr>
        <w:pStyle w:val="para3"/>
        <w:numPr>
          <w:ilvl w:val="0"/>
          <w:numId w:val="1"/>
        </w:numPr>
        <w:ind w:left="720" w:hanging="360"/>
        <w:spacing w:before="0" w:after="0" w:beforeAutospacing="0" w:afterAutospacing="0"/>
        <w:jc w:val="both"/>
      </w:pPr>
      <w:r>
        <w:t>Обращаться в проверенные годами стоматологические клиники. </w:t>
      </w:r>
    </w:p>
    <w:p>
      <w:pPr>
        <w:pStyle w:val="para3"/>
        <w:numPr>
          <w:ilvl w:val="0"/>
          <w:numId w:val="1"/>
        </w:numPr>
        <w:ind w:left="720" w:hanging="360"/>
        <w:spacing w:before="0" w:after="0" w:beforeAutospacing="0" w:afterAutospacing="0"/>
        <w:jc w:val="both"/>
      </w:pPr>
      <w:r>
        <w:t>Зная об этом, по-другому расценивать свои расходы на лечение. </w:t>
      </w:r>
    </w:p>
    <w:p>
      <w:pPr>
        <w:pStyle w:val="para3"/>
        <w:numPr>
          <w:ilvl w:val="0"/>
          <w:numId w:val="1"/>
        </w:numPr>
        <w:ind w:left="720" w:hanging="360"/>
        <w:spacing w:before="0" w:after="0" w:beforeAutospacing="0" w:afterAutospacing="0"/>
        <w:jc w:val="both"/>
      </w:pPr>
      <w:r>
        <w:t>При оплате полученного плана лечения на стоматологические услуги быть уверенным в том, что вам возместят 13% в пределах суммы, установленной действующим законодательством при надлежащем оформлении пакета документов. </w:t>
      </w:r>
    </w:p>
    <w:p>
      <w:pPr>
        <w:pStyle w:val="para3"/>
        <w:numPr>
          <w:ilvl w:val="0"/>
          <w:numId w:val="1"/>
        </w:numPr>
        <w:ind w:left="720" w:hanging="360"/>
        <w:spacing w:before="0" w:after="240" w:beforeAutospacing="0" w:afterAutospacing="0"/>
        <w:jc w:val="both"/>
      </w:pPr>
      <w:r>
        <w:t>Не экономить на здоровье и своей улыбке! </w:t>
      </w:r>
    </w:p>
    <w:p>
      <w:pPr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3"/>
        <w:spacing w:before="240" w:after="240" w:beforeAutospacing="0" w:afterAutospacing="0"/>
        <w:jc w:val="center"/>
        <w:rPr>
          <w:b/>
        </w:rPr>
      </w:pPr>
      <w:r>
        <w:rPr>
          <w:b/>
        </w:rPr>
        <w:t>С заботой и уважением к пациентам, федеральная сеть стоматологий</w:t>
      </w:r>
      <w:r>
        <w:rPr>
          <w:b/>
        </w:rPr>
        <w:t xml:space="preserve"> </w:t>
      </w:r>
      <w:r>
        <w:rPr>
          <w:b/>
        </w:rPr>
      </w:r>
    </w:p>
    <w:p>
      <w:pPr>
        <w:pStyle w:val="para3"/>
        <w:spacing w:before="240" w:after="240" w:beforeAutospacing="0" w:afterAutospacing="0"/>
        <w:jc w:val="center"/>
      </w:pPr>
      <w:r>
        <w:rPr>
          <w:b/>
        </w:rPr>
        <w:t>«Доктор Келлер»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Calibri Light">
    <w:charset w:val="00"/>
    <w:family w:val="swiss"/>
    <w:pitch w:val="default"/>
  </w:font>
  <w:font w:name="Segoe UI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41"/>
      <w:tmLastPosIdx w:val="64"/>
    </w:tmLastPosCaret>
    <w:tmLastPosAnchor>
      <w:tmLastPosPgfIdx w:val="0"/>
      <w:tmLastPosIdx w:val="0"/>
    </w:tmLastPosAnchor>
    <w:tmLastPosTblRect w:left="0" w:top="0" w:right="0" w:bottom="0"/>
  </w:tmLastPos>
  <w:tmAppRevision w:date="1737719470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lang w:val="ru-ru" w:eastAsia="ru-ru"/>
    </w:rPr>
  </w:style>
  <w:style w:type="paragraph" w:styleId="para1">
    <w:name w:val="heading 3"/>
    <w:qFormat/>
    <w:basedOn w:val="para0"/>
    <w:next w:val="para0"/>
    <w:pPr>
      <w:spacing w:before="40" w:after="0"/>
      <w:keepNext/>
      <w:outlineLvl w:val="2"/>
      <w:keepLines/>
    </w:pPr>
    <w:rPr>
      <w:rFonts w:ascii="Calibri Light" w:hAnsi="Calibri Light" w:eastAsia="Calibri Light" w:cs="Calibri Light"/>
      <w:color w:val="1f3763"/>
      <w:sz w:val="24"/>
      <w:szCs w:val="24"/>
    </w:rPr>
  </w:style>
  <w:style w:type="paragraph" w:styleId="para2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para4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5" w:customStyle="1">
    <w:name w:val="annotation subject"/>
    <w:qFormat/>
    <w:basedOn w:val="para4"/>
    <w:next w:val="para4"/>
    <w:rPr>
      <w:b/>
      <w:bCs/>
    </w:rPr>
  </w:style>
  <w:style w:type="paragraph" w:styleId="para6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Заголовок 4 Знак"/>
    <w:basedOn w:val="char0"/>
    <w:rPr>
      <w:rFonts w:eastAsia="Calibri" w:cs="Times New Roman"/>
      <w:b/>
      <w:bCs/>
      <w:sz w:val="28"/>
      <w:szCs w:val="28"/>
      <w:lang w:val="ru-ru" w:eastAsia="ru-ru"/>
    </w:rPr>
  </w:style>
  <w:style w:type="character" w:styleId="char2">
    <w:name w:val="Hyperlink"/>
    <w:basedOn w:val="char0"/>
    <w:rPr>
      <w:rFonts w:cs="Times New Roman"/>
      <w:color w:val="0563c1"/>
      <w:u w:color="auto" w:val="single"/>
    </w:rPr>
  </w:style>
  <w:style w:type="character" w:styleId="char3" w:customStyle="1">
    <w:name w:val="annotation reference"/>
    <w:basedOn w:val="char0"/>
    <w:rPr>
      <w:sz w:val="16"/>
      <w:szCs w:val="16"/>
    </w:rPr>
  </w:style>
  <w:style w:type="character" w:styleId="char4" w:customStyle="1">
    <w:name w:val="Текст примечания Знак"/>
    <w:basedOn w:val="char0"/>
    <w:rPr>
      <w:rFonts w:eastAsia="Calibri" w:cs="Times New Roman"/>
      <w:sz w:val="20"/>
      <w:szCs w:val="20"/>
      <w:lang w:val="ru-ru" w:eastAsia="ru-ru"/>
    </w:rPr>
  </w:style>
  <w:style w:type="character" w:styleId="char5" w:customStyle="1">
    <w:name w:val="Тема примечания Знак"/>
    <w:basedOn w:val="char4"/>
    <w:rPr>
      <w:rFonts w:eastAsia="Calibri" w:cs="Times New Roman"/>
      <w:b/>
      <w:bCs/>
      <w:sz w:val="20"/>
      <w:szCs w:val="20"/>
      <w:lang w:val="ru-ru" w:eastAsia="ru-ru"/>
    </w:rPr>
  </w:style>
  <w:style w:type="character" w:styleId="char6" w:customStyle="1">
    <w:name w:val="Текст выноски Знак"/>
    <w:basedOn w:val="char0"/>
    <w:rPr>
      <w:rFonts w:ascii="Segoe UI" w:hAnsi="Segoe UI" w:eastAsia="Calibri" w:cs="Segoe UI"/>
      <w:sz w:val="18"/>
      <w:szCs w:val="18"/>
      <w:lang w:val="ru-ru" w:eastAsia="ru-ru"/>
    </w:rPr>
  </w:style>
  <w:style w:type="character" w:styleId="char7" w:customStyle="1">
    <w:name w:val="Заголовок 3 Знак"/>
    <w:basedOn w:val="char0"/>
    <w:rPr>
      <w:rFonts w:ascii="Calibri Light" w:hAnsi="Calibri Light" w:eastAsia="Calibri Light" w:cs="Calibri Light"/>
      <w:color w:val="1f3763"/>
      <w:sz w:val="24"/>
      <w:szCs w:val="24"/>
      <w:lang w:val="ru-ru"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lang w:val="ru-ru" w:eastAsia="ru-ru"/>
    </w:rPr>
  </w:style>
  <w:style w:type="paragraph" w:styleId="para1">
    <w:name w:val="heading 3"/>
    <w:qFormat/>
    <w:basedOn w:val="para0"/>
    <w:next w:val="para0"/>
    <w:pPr>
      <w:spacing w:before="40" w:after="0"/>
      <w:keepNext/>
      <w:outlineLvl w:val="2"/>
      <w:keepLines/>
    </w:pPr>
    <w:rPr>
      <w:rFonts w:ascii="Calibri Light" w:hAnsi="Calibri Light" w:eastAsia="Calibri Light" w:cs="Calibri Light"/>
      <w:color w:val="1f3763"/>
      <w:sz w:val="24"/>
      <w:szCs w:val="24"/>
    </w:rPr>
  </w:style>
  <w:style w:type="paragraph" w:styleId="para2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para4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5" w:customStyle="1">
    <w:name w:val="annotation subject"/>
    <w:qFormat/>
    <w:basedOn w:val="para4"/>
    <w:next w:val="para4"/>
    <w:rPr>
      <w:b/>
      <w:bCs/>
    </w:rPr>
  </w:style>
  <w:style w:type="paragraph" w:styleId="para6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Заголовок 4 Знак"/>
    <w:basedOn w:val="char0"/>
    <w:rPr>
      <w:rFonts w:eastAsia="Calibri" w:cs="Times New Roman"/>
      <w:b/>
      <w:bCs/>
      <w:sz w:val="28"/>
      <w:szCs w:val="28"/>
      <w:lang w:val="ru-ru" w:eastAsia="ru-ru"/>
    </w:rPr>
  </w:style>
  <w:style w:type="character" w:styleId="char2">
    <w:name w:val="Hyperlink"/>
    <w:basedOn w:val="char0"/>
    <w:rPr>
      <w:rFonts w:cs="Times New Roman"/>
      <w:color w:val="0563c1"/>
      <w:u w:color="auto" w:val="single"/>
    </w:rPr>
  </w:style>
  <w:style w:type="character" w:styleId="char3" w:customStyle="1">
    <w:name w:val="annotation reference"/>
    <w:basedOn w:val="char0"/>
    <w:rPr>
      <w:sz w:val="16"/>
      <w:szCs w:val="16"/>
    </w:rPr>
  </w:style>
  <w:style w:type="character" w:styleId="char4" w:customStyle="1">
    <w:name w:val="Текст примечания Знак"/>
    <w:basedOn w:val="char0"/>
    <w:rPr>
      <w:rFonts w:eastAsia="Calibri" w:cs="Times New Roman"/>
      <w:sz w:val="20"/>
      <w:szCs w:val="20"/>
      <w:lang w:val="ru-ru" w:eastAsia="ru-ru"/>
    </w:rPr>
  </w:style>
  <w:style w:type="character" w:styleId="char5" w:customStyle="1">
    <w:name w:val="Тема примечания Знак"/>
    <w:basedOn w:val="char4"/>
    <w:rPr>
      <w:rFonts w:eastAsia="Calibri" w:cs="Times New Roman"/>
      <w:b/>
      <w:bCs/>
      <w:sz w:val="20"/>
      <w:szCs w:val="20"/>
      <w:lang w:val="ru-ru" w:eastAsia="ru-ru"/>
    </w:rPr>
  </w:style>
  <w:style w:type="character" w:styleId="char6" w:customStyle="1">
    <w:name w:val="Текст выноски Знак"/>
    <w:basedOn w:val="char0"/>
    <w:rPr>
      <w:rFonts w:ascii="Segoe UI" w:hAnsi="Segoe UI" w:eastAsia="Calibri" w:cs="Segoe UI"/>
      <w:sz w:val="18"/>
      <w:szCs w:val="18"/>
      <w:lang w:val="ru-ru" w:eastAsia="ru-ru"/>
    </w:rPr>
  </w:style>
  <w:style w:type="character" w:styleId="char7" w:customStyle="1">
    <w:name w:val="Заголовок 3 Знак"/>
    <w:basedOn w:val="char0"/>
    <w:rPr>
      <w:rFonts w:ascii="Calibri Light" w:hAnsi="Calibri Light" w:eastAsia="Calibri Light" w:cs="Calibri Light"/>
      <w:color w:val="1f3763"/>
      <w:sz w:val="24"/>
      <w:szCs w:val="24"/>
      <w:lang w:val="ru-ru"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info@gildiadent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/>
  <cp:revision>15</cp:revision>
  <dcterms:created xsi:type="dcterms:W3CDTF">2024-07-04T11:42:00Z</dcterms:created>
  <dcterms:modified xsi:type="dcterms:W3CDTF">2025-01-24T11:51:10Z</dcterms:modified>
</cp:coreProperties>
</file>